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BDBAA" w14:textId="77777777" w:rsidR="00BB6856" w:rsidRDefault="00000000">
      <w:pPr>
        <w:spacing w:before="80"/>
        <w:jc w:val="left"/>
      </w:pPr>
      <w:r>
        <w:rPr>
          <w:b/>
          <w:color w:val="2E74B5"/>
          <w:sz w:val="20"/>
        </w:rPr>
        <w:t>CONCORD MC  |  PROFESSIONAL INSIGHT</w:t>
      </w:r>
    </w:p>
    <w:p w14:paraId="4FA6E8D1" w14:textId="77777777" w:rsidR="00BB6856" w:rsidRDefault="00000000">
      <w:pPr>
        <w:keepNext/>
        <w:spacing w:after="140"/>
        <w:jc w:val="left"/>
      </w:pPr>
      <w:r>
        <w:rPr>
          <w:b/>
          <w:color w:val="0B2545"/>
          <w:sz w:val="52"/>
        </w:rPr>
        <w:t>Tree Risk Assessments Are Only the Beginning: Turning Findings into an Action Plan</w:t>
      </w:r>
    </w:p>
    <w:p w14:paraId="513E6E85" w14:textId="53EDF931" w:rsidR="00BB6856" w:rsidRDefault="00000000">
      <w:pPr>
        <w:keepNext/>
        <w:spacing w:after="200"/>
        <w:jc w:val="left"/>
      </w:pPr>
      <w:r>
        <w:rPr>
          <w:i/>
          <w:color w:val="5B6573"/>
          <w:sz w:val="25"/>
        </w:rPr>
        <w:t>A practical framework for municipalities, public agencies, associations, institutions, commercial properties, and large residential estates</w:t>
      </w:r>
      <w:r w:rsidR="007347B7">
        <w:rPr>
          <w:i/>
          <w:color w:val="5B6573"/>
          <w:sz w:val="25"/>
        </w:rPr>
        <w:t xml:space="preserve">. </w:t>
      </w:r>
    </w:p>
    <w:p w14:paraId="6322C0ED" w14:textId="77777777" w:rsidR="00BB6856" w:rsidRDefault="00000000">
      <w:pPr>
        <w:spacing w:after="320"/>
        <w:jc w:val="left"/>
      </w:pPr>
      <w:r>
        <w:rPr>
          <w:b/>
          <w:color w:val="1F4D78"/>
          <w:sz w:val="21"/>
        </w:rPr>
        <w:t>By Jerry Barberio, MBA | ISA Certified Arborist® NY-6400A | ISA Tree Risk Assessment Qualified (TRAQ)</w:t>
      </w:r>
    </w:p>
    <w:p w14:paraId="4750316B" w14:textId="77777777" w:rsidR="00BB6856" w:rsidRDefault="00000000">
      <w:pPr>
        <w:pBdr>
          <w:left w:val="single" w:sz="18" w:space="8" w:color="2E74B5"/>
        </w:pBdr>
        <w:shd w:val="clear" w:color="auto" w:fill="F4F6F9"/>
        <w:spacing w:before="40" w:after="280" w:line="288" w:lineRule="auto"/>
        <w:ind w:left="173" w:right="173"/>
        <w:jc w:val="left"/>
      </w:pPr>
      <w:r>
        <w:rPr>
          <w:b/>
          <w:color w:val="0B2545"/>
          <w:sz w:val="23"/>
        </w:rPr>
        <w:t xml:space="preserve">The central management question is not simply, </w:t>
      </w:r>
      <w:r>
        <w:rPr>
          <w:b/>
          <w:i/>
          <w:color w:val="0B2545"/>
          <w:sz w:val="23"/>
        </w:rPr>
        <w:t xml:space="preserve">“Has the tree been assessed?” </w:t>
      </w:r>
      <w:r>
        <w:rPr>
          <w:b/>
          <w:color w:val="0B2545"/>
          <w:sz w:val="23"/>
        </w:rPr>
        <w:t>It is whether the findings have been converted into assigned, funded, completed, and documented action.</w:t>
      </w:r>
    </w:p>
    <w:p w14:paraId="6A84B03B" w14:textId="77777777" w:rsidR="00BB6856" w:rsidRDefault="00000000">
      <w:r>
        <w:t>Trees are valuable living assets. They provide shade, improve property appearance, contribute to stormwater management, support wildlife, and help define the character of neighborhoods, campuses, commercial properties, and large estates. Trees also change over time. Storms, construction, soil disturbance, disease, decay, changing site use, and normal aging can alter tree condition and the consequences of failure.</w:t>
      </w:r>
    </w:p>
    <w:p w14:paraId="7F69C9E1" w14:textId="77777777" w:rsidR="00BB6856" w:rsidRDefault="00000000">
      <w:r>
        <w:t>A professional tree risk assessment helps a property owner or public agency understand observable conditions, potential failure scenarios, affected targets, and reasonable options for mitigation. That assessment is an essential starting point, but it does not prune a branch, restrict access, obtain an appropriation, issue a work order, select a qualified contractor, or verify that recommended work was completed. Risk is reduced through disciplined follow-through.</w:t>
      </w:r>
    </w:p>
    <w:p w14:paraId="1872C602" w14:textId="77777777" w:rsidR="00BB6856" w:rsidRDefault="00000000">
      <w:pPr>
        <w:pStyle w:val="Heading1"/>
      </w:pPr>
      <w:r>
        <w:t>What a Tree Risk Assessment Should Accomplish</w:t>
      </w:r>
    </w:p>
    <w:p w14:paraId="06230B94" w14:textId="77777777" w:rsidR="00BB6856" w:rsidRDefault="00000000">
      <w:r>
        <w:t>A tree risk assessment should be tied to a clearly defined assignment. The arborist and client should understand which trees or tree populations are included, what targets are being considered, the assessment time frame, the method and level of assessment, access limitations, and the format of the final report. Without a clear scope, even technically sound observations may not answer the client’s actual management questions.</w:t>
      </w:r>
    </w:p>
    <w:p w14:paraId="097FDFDF" w14:textId="77777777" w:rsidR="00BB6856" w:rsidRDefault="00000000">
      <w:r>
        <w:lastRenderedPageBreak/>
        <w:t>The International Society of Arboriculture’s Tree Risk Assessment Qualification program establishes a systematic framework for gathering information, evaluating tree risk, communicating findings, and developing mitigation recommendations. Within that framework, the appropriate assessment level depends on the purpose of the assignment and the information reasonably needed to make a decision.</w:t>
      </w:r>
    </w:p>
    <w:p w14:paraId="09BC1CD8" w14:textId="77777777" w:rsidR="00BB6856" w:rsidRDefault="00000000">
      <w:pPr>
        <w:keepLines/>
        <w:numPr>
          <w:ilvl w:val="0"/>
          <w:numId w:val="1"/>
        </w:numPr>
        <w:spacing w:after="80" w:line="290" w:lineRule="auto"/>
        <w:ind w:hanging="279"/>
        <w:jc w:val="left"/>
      </w:pPr>
      <w:r>
        <w:rPr>
          <w:b/>
          <w:color w:val="0B2545"/>
        </w:rPr>
        <w:t>Level 1—Limited visual assessment.</w:t>
      </w:r>
      <w:r>
        <w:t xml:space="preserve"> A specified population of trees is viewed from a defined perspective, often through a walk-by or drive-by process. It is useful for screening large populations and identifying trees that may require prompt attention or a higher level of assessment.</w:t>
      </w:r>
    </w:p>
    <w:p w14:paraId="10AB521A" w14:textId="77777777" w:rsidR="00BB6856" w:rsidRDefault="00000000">
      <w:pPr>
        <w:keepLines/>
        <w:numPr>
          <w:ilvl w:val="0"/>
          <w:numId w:val="1"/>
        </w:numPr>
        <w:spacing w:after="80" w:line="290" w:lineRule="auto"/>
        <w:ind w:hanging="279"/>
        <w:jc w:val="left"/>
      </w:pPr>
      <w:r>
        <w:rPr>
          <w:b/>
          <w:color w:val="0B2545"/>
        </w:rPr>
        <w:t>Level 2—Basic assessment.</w:t>
      </w:r>
      <w:r>
        <w:t xml:space="preserve"> An arborist performs a detailed, ground-based inspection of an individual tree and its site, generally from all accessible sides. The assessment considers relevant targets, tree parts, load factors, defects, and conditions that may affect the likelihood or consequences of failure.</w:t>
      </w:r>
    </w:p>
    <w:p w14:paraId="17797BCD" w14:textId="77777777" w:rsidR="00BB6856" w:rsidRDefault="00000000">
      <w:pPr>
        <w:keepLines/>
        <w:numPr>
          <w:ilvl w:val="0"/>
          <w:numId w:val="1"/>
        </w:numPr>
        <w:spacing w:after="80" w:line="290" w:lineRule="auto"/>
        <w:ind w:hanging="279"/>
        <w:jc w:val="left"/>
      </w:pPr>
      <w:r>
        <w:rPr>
          <w:b/>
          <w:color w:val="0B2545"/>
        </w:rPr>
        <w:t>Level 3—Advanced assessment.</w:t>
      </w:r>
      <w:r>
        <w:t xml:space="preserve"> Specialized techniques or equipment may be recommended when additional information is needed to address a specific question that cannot be resolved through a basic assessment. Advanced assessment should be targeted to the decision being made rather than used automatically.</w:t>
      </w:r>
    </w:p>
    <w:p w14:paraId="2A8F1E79" w14:textId="77777777" w:rsidR="00BB6856" w:rsidRDefault="00000000">
      <w:r>
        <w:t>No assessment can guarantee that a tree or branch will not fail. An assessment is based on the defined scope, accessible and observable conditions, available information, and the condition of the tree and site at the time of inspection. This limitation makes documentation and follow-up especially important.</w:t>
      </w:r>
    </w:p>
    <w:p w14:paraId="4F90C7DF" w14:textId="77777777" w:rsidR="00BB6856" w:rsidRDefault="00000000">
      <w:pPr>
        <w:pStyle w:val="Heading1"/>
      </w:pPr>
      <w:r>
        <w:t>Where Good Reports Commonly Lose Momentum</w:t>
      </w:r>
    </w:p>
    <w:p w14:paraId="00508D88" w14:textId="77777777" w:rsidR="00BB6856" w:rsidRDefault="00000000">
      <w:r>
        <w:t>Many organizations obtain a competent assessment and still struggle to reduce the identified risk. The problem is often managerial rather than technical. A report may cross several departments or decision-making bodies, and no single person is given responsibility for moving it from recommendation to completion.</w:t>
      </w:r>
    </w:p>
    <w:p w14:paraId="2D5253E1" w14:textId="77777777" w:rsidR="00BB6856" w:rsidRDefault="00000000">
      <w:pPr>
        <w:keepLines/>
        <w:numPr>
          <w:ilvl w:val="0"/>
          <w:numId w:val="1"/>
        </w:numPr>
        <w:spacing w:after="80" w:line="290" w:lineRule="auto"/>
        <w:ind w:hanging="279"/>
        <w:jc w:val="left"/>
      </w:pPr>
      <w:r>
        <w:rPr>
          <w:b/>
          <w:color w:val="0B2545"/>
        </w:rPr>
        <w:t>Responsibility is unclear.</w:t>
      </w:r>
      <w:r>
        <w:t xml:space="preserve"> The owner, administrator, facilities manager, public works department, association board, risk manager, and contractor may each assume someone else is acting.</w:t>
      </w:r>
    </w:p>
    <w:p w14:paraId="4A689E6E" w14:textId="77777777" w:rsidR="00BB6856" w:rsidRDefault="00000000">
      <w:pPr>
        <w:keepLines/>
        <w:numPr>
          <w:ilvl w:val="0"/>
          <w:numId w:val="1"/>
        </w:numPr>
        <w:spacing w:after="80" w:line="290" w:lineRule="auto"/>
        <w:ind w:hanging="279"/>
        <w:jc w:val="left"/>
      </w:pPr>
      <w:r>
        <w:rPr>
          <w:b/>
          <w:color w:val="0B2545"/>
        </w:rPr>
        <w:t>Recommendations are not converted into work orders.</w:t>
      </w:r>
      <w:r>
        <w:t xml:space="preserve"> General advice must become a tree-specific scope with a location, treatment, priority, responsible party, and completion date.</w:t>
      </w:r>
    </w:p>
    <w:p w14:paraId="2A92B2F6" w14:textId="77777777" w:rsidR="00BB6856" w:rsidRDefault="00000000">
      <w:pPr>
        <w:keepLines/>
        <w:numPr>
          <w:ilvl w:val="0"/>
          <w:numId w:val="1"/>
        </w:numPr>
        <w:spacing w:after="80" w:line="290" w:lineRule="auto"/>
        <w:ind w:hanging="279"/>
        <w:jc w:val="left"/>
      </w:pPr>
      <w:r>
        <w:rPr>
          <w:b/>
          <w:color w:val="0B2545"/>
        </w:rPr>
        <w:t>Budget and procurement processes do not match the urgency.</w:t>
      </w:r>
      <w:r>
        <w:t xml:space="preserve"> Emergency conditions, near-term corrective work, and planned maintenance require different approval and purchasing paths.</w:t>
      </w:r>
    </w:p>
    <w:p w14:paraId="58E84867" w14:textId="77777777" w:rsidR="00BB6856" w:rsidRDefault="00000000">
      <w:pPr>
        <w:keepLines/>
        <w:numPr>
          <w:ilvl w:val="0"/>
          <w:numId w:val="1"/>
        </w:numPr>
        <w:spacing w:after="80" w:line="290" w:lineRule="auto"/>
        <w:ind w:hanging="279"/>
        <w:jc w:val="left"/>
      </w:pPr>
      <w:r>
        <w:rPr>
          <w:b/>
          <w:color w:val="0B2545"/>
        </w:rPr>
        <w:t>Completion is not verified.</w:t>
      </w:r>
      <w:r>
        <w:t xml:space="preserve"> An invoice alone may not confirm that the correct tree received the prescribed treatment or that the work met the specified arboricultural standard.</w:t>
      </w:r>
    </w:p>
    <w:p w14:paraId="622E8ABB" w14:textId="77777777" w:rsidR="00BB6856" w:rsidRDefault="00000000">
      <w:pPr>
        <w:keepLines/>
        <w:numPr>
          <w:ilvl w:val="0"/>
          <w:numId w:val="1"/>
        </w:numPr>
        <w:spacing w:after="80" w:line="290" w:lineRule="auto"/>
        <w:ind w:hanging="279"/>
        <w:jc w:val="left"/>
      </w:pPr>
      <w:r>
        <w:rPr>
          <w:b/>
          <w:color w:val="0B2545"/>
        </w:rPr>
        <w:t>Monitoring is not scheduled.</w:t>
      </w:r>
      <w:r>
        <w:t xml:space="preserve"> Trees retained after mitigation may still require periodic observation, reassessment, or action following storms, construction, or changes in site occupancy.</w:t>
      </w:r>
    </w:p>
    <w:p w14:paraId="2E8D16AE" w14:textId="77777777" w:rsidR="00BB6856" w:rsidRDefault="00000000">
      <w:pPr>
        <w:pStyle w:val="Heading1"/>
      </w:pPr>
      <w:r>
        <w:lastRenderedPageBreak/>
        <w:t>A Practical Framework for Turning Findings into Action</w:t>
      </w:r>
    </w:p>
    <w:p w14:paraId="75ABD684" w14:textId="77777777" w:rsidR="00BB6856" w:rsidRDefault="00000000">
      <w:pPr>
        <w:pStyle w:val="Heading2"/>
      </w:pPr>
      <w:r>
        <w:t>1. Confirm the Decision Framework</w:t>
      </w:r>
    </w:p>
    <w:p w14:paraId="5C5186D4" w14:textId="77777777" w:rsidR="00BB6856" w:rsidRDefault="00000000">
      <w:r>
        <w:t>Before assigning work, confirm the assessment scope and the decisions it is intended to support. Identify tree ownership, property boundaries, foreseeable targets, occupancy patterns, critical infrastructure, operational constraints, and any areas where access should be restricted while decisions are pending. The property owner or agency remains the risk manager and must determine its priorities and acceptable level of risk with professional guidance.</w:t>
      </w:r>
    </w:p>
    <w:p w14:paraId="3EAE5D0A" w14:textId="77777777" w:rsidR="00BB6856" w:rsidRDefault="00000000">
      <w:pPr>
        <w:pStyle w:val="Heading2"/>
      </w:pPr>
      <w:r>
        <w:t>2. Prioritize by Risk and Operational Need</w:t>
      </w:r>
    </w:p>
    <w:p w14:paraId="4234234C" w14:textId="77777777" w:rsidR="00BB6856" w:rsidRDefault="00000000">
      <w:r>
        <w:t>A practical action plan separates urgent conditions from work that can be scheduled, budgeted, monitored, or coordinated with broader site improvements. Aesthetic preferences can be considered, but they should not displace conditions involving people, occupied vehicles, buildings, utilities, roadways, playgrounds, pedestrian areas, or other consequential targets.</w:t>
      </w:r>
    </w:p>
    <w:tbl>
      <w:tblPr>
        <w:tblStyle w:val="TableGrid"/>
        <w:tblW w:w="9360" w:type="dxa"/>
        <w:tblInd w:w="120" w:type="dxa"/>
        <w:tblBorders>
          <w:top w:val="single" w:sz="6" w:space="0" w:color="AAB5C2"/>
          <w:left w:val="single" w:sz="6" w:space="0" w:color="AAB5C2"/>
          <w:bottom w:val="single" w:sz="6" w:space="0" w:color="AAB5C2"/>
          <w:right w:val="single" w:sz="6" w:space="0" w:color="AAB5C2"/>
          <w:insideH w:val="single" w:sz="6" w:space="0" w:color="AAB5C2"/>
          <w:insideV w:val="single" w:sz="6" w:space="0" w:color="AAB5C2"/>
        </w:tblBorders>
        <w:tblLayout w:type="fixed"/>
        <w:tblLook w:val="04A0" w:firstRow="1" w:lastRow="0" w:firstColumn="1" w:lastColumn="0" w:noHBand="0" w:noVBand="1"/>
      </w:tblPr>
      <w:tblGrid>
        <w:gridCol w:w="1500"/>
        <w:gridCol w:w="3100"/>
        <w:gridCol w:w="1800"/>
        <w:gridCol w:w="2960"/>
      </w:tblGrid>
      <w:tr w:rsidR="00BB6856" w14:paraId="34939AFF" w14:textId="77777777">
        <w:trPr>
          <w:cantSplit/>
          <w:tblHeader/>
        </w:trPr>
        <w:tc>
          <w:tcPr>
            <w:tcW w:w="1500" w:type="dxa"/>
            <w:shd w:val="clear" w:color="auto" w:fill="E8EEF5"/>
            <w:tcMar>
              <w:top w:w="80" w:type="dxa"/>
              <w:left w:w="120" w:type="dxa"/>
              <w:bottom w:w="80" w:type="dxa"/>
              <w:right w:w="120" w:type="dxa"/>
            </w:tcMar>
            <w:vAlign w:val="center"/>
          </w:tcPr>
          <w:p w14:paraId="653AEC34" w14:textId="77777777" w:rsidR="00BB6856" w:rsidRDefault="00000000">
            <w:pPr>
              <w:spacing w:after="0"/>
              <w:jc w:val="left"/>
            </w:pPr>
            <w:r>
              <w:rPr>
                <w:b/>
                <w:color w:val="0B2545"/>
                <w:sz w:val="19"/>
              </w:rPr>
              <w:t>Management tier</w:t>
            </w:r>
          </w:p>
        </w:tc>
        <w:tc>
          <w:tcPr>
            <w:tcW w:w="3100" w:type="dxa"/>
            <w:shd w:val="clear" w:color="auto" w:fill="E8EEF5"/>
            <w:tcMar>
              <w:top w:w="80" w:type="dxa"/>
              <w:left w:w="120" w:type="dxa"/>
              <w:bottom w:w="80" w:type="dxa"/>
              <w:right w:w="120" w:type="dxa"/>
            </w:tcMar>
            <w:vAlign w:val="center"/>
          </w:tcPr>
          <w:p w14:paraId="20847FAD" w14:textId="77777777" w:rsidR="00BB6856" w:rsidRDefault="00000000">
            <w:pPr>
              <w:spacing w:after="0"/>
              <w:jc w:val="left"/>
            </w:pPr>
            <w:r>
              <w:rPr>
                <w:b/>
                <w:color w:val="0B2545"/>
                <w:sz w:val="19"/>
              </w:rPr>
              <w:t>Typical response</w:t>
            </w:r>
          </w:p>
        </w:tc>
        <w:tc>
          <w:tcPr>
            <w:tcW w:w="1800" w:type="dxa"/>
            <w:shd w:val="clear" w:color="auto" w:fill="E8EEF5"/>
            <w:tcMar>
              <w:top w:w="80" w:type="dxa"/>
              <w:left w:w="120" w:type="dxa"/>
              <w:bottom w:w="80" w:type="dxa"/>
              <w:right w:w="120" w:type="dxa"/>
            </w:tcMar>
            <w:vAlign w:val="center"/>
          </w:tcPr>
          <w:p w14:paraId="1622E232" w14:textId="77777777" w:rsidR="00BB6856" w:rsidRDefault="00000000">
            <w:pPr>
              <w:spacing w:after="0"/>
              <w:jc w:val="left"/>
            </w:pPr>
            <w:r>
              <w:rPr>
                <w:b/>
                <w:color w:val="0B2545"/>
                <w:sz w:val="19"/>
              </w:rPr>
              <w:t>Timing approach</w:t>
            </w:r>
          </w:p>
        </w:tc>
        <w:tc>
          <w:tcPr>
            <w:tcW w:w="2960" w:type="dxa"/>
            <w:shd w:val="clear" w:color="auto" w:fill="E8EEF5"/>
            <w:tcMar>
              <w:top w:w="80" w:type="dxa"/>
              <w:left w:w="120" w:type="dxa"/>
              <w:bottom w:w="80" w:type="dxa"/>
              <w:right w:w="120" w:type="dxa"/>
            </w:tcMar>
            <w:vAlign w:val="center"/>
          </w:tcPr>
          <w:p w14:paraId="534C638B" w14:textId="77777777" w:rsidR="00BB6856" w:rsidRDefault="00000000">
            <w:pPr>
              <w:spacing w:after="0"/>
              <w:jc w:val="left"/>
            </w:pPr>
            <w:r>
              <w:rPr>
                <w:b/>
                <w:color w:val="0B2545"/>
                <w:sz w:val="19"/>
              </w:rPr>
              <w:t>Record to retain</w:t>
            </w:r>
          </w:p>
        </w:tc>
      </w:tr>
      <w:tr w:rsidR="00BB6856" w14:paraId="26CB1C89" w14:textId="77777777">
        <w:trPr>
          <w:cantSplit/>
        </w:trPr>
        <w:tc>
          <w:tcPr>
            <w:tcW w:w="1500" w:type="dxa"/>
            <w:tcMar>
              <w:top w:w="80" w:type="dxa"/>
              <w:left w:w="120" w:type="dxa"/>
              <w:bottom w:w="80" w:type="dxa"/>
              <w:right w:w="120" w:type="dxa"/>
            </w:tcMar>
            <w:vAlign w:val="center"/>
          </w:tcPr>
          <w:p w14:paraId="1DADF7C3" w14:textId="77777777" w:rsidR="00BB6856" w:rsidRDefault="00000000">
            <w:pPr>
              <w:spacing w:after="0" w:line="259" w:lineRule="auto"/>
              <w:jc w:val="left"/>
            </w:pPr>
            <w:r>
              <w:rPr>
                <w:b/>
                <w:sz w:val="18"/>
              </w:rPr>
              <w:t>Immediate</w:t>
            </w:r>
          </w:p>
        </w:tc>
        <w:tc>
          <w:tcPr>
            <w:tcW w:w="3100" w:type="dxa"/>
            <w:tcMar>
              <w:top w:w="80" w:type="dxa"/>
              <w:left w:w="120" w:type="dxa"/>
              <w:bottom w:w="80" w:type="dxa"/>
              <w:right w:w="120" w:type="dxa"/>
            </w:tcMar>
            <w:vAlign w:val="center"/>
          </w:tcPr>
          <w:p w14:paraId="3606C67D" w14:textId="77777777" w:rsidR="00BB6856" w:rsidRDefault="00000000">
            <w:pPr>
              <w:spacing w:after="0" w:line="259" w:lineRule="auto"/>
              <w:jc w:val="left"/>
            </w:pPr>
            <w:r>
              <w:rPr>
                <w:sz w:val="18"/>
              </w:rPr>
              <w:t>Restrict access, notify responsible officials, and obtain prompt mitigation or additional evaluation.</w:t>
            </w:r>
          </w:p>
        </w:tc>
        <w:tc>
          <w:tcPr>
            <w:tcW w:w="1800" w:type="dxa"/>
            <w:tcMar>
              <w:top w:w="80" w:type="dxa"/>
              <w:left w:w="120" w:type="dxa"/>
              <w:bottom w:w="80" w:type="dxa"/>
              <w:right w:w="120" w:type="dxa"/>
            </w:tcMar>
            <w:vAlign w:val="center"/>
          </w:tcPr>
          <w:p w14:paraId="3CF96A4C" w14:textId="77777777" w:rsidR="00BB6856" w:rsidRDefault="00000000">
            <w:pPr>
              <w:spacing w:after="0" w:line="259" w:lineRule="auto"/>
              <w:jc w:val="left"/>
            </w:pPr>
            <w:r>
              <w:rPr>
                <w:sz w:val="18"/>
              </w:rPr>
              <w:t>Act without avoidable delay.</w:t>
            </w:r>
          </w:p>
        </w:tc>
        <w:tc>
          <w:tcPr>
            <w:tcW w:w="2960" w:type="dxa"/>
            <w:tcMar>
              <w:top w:w="80" w:type="dxa"/>
              <w:left w:w="120" w:type="dxa"/>
              <w:bottom w:w="80" w:type="dxa"/>
              <w:right w:w="120" w:type="dxa"/>
            </w:tcMar>
            <w:vAlign w:val="center"/>
          </w:tcPr>
          <w:p w14:paraId="476FCAFD" w14:textId="77777777" w:rsidR="00BB6856" w:rsidRDefault="00000000">
            <w:pPr>
              <w:spacing w:after="0" w:line="259" w:lineRule="auto"/>
              <w:jc w:val="left"/>
            </w:pPr>
            <w:r>
              <w:rPr>
                <w:sz w:val="18"/>
              </w:rPr>
              <w:t>Notice, interim controls, authorization, photographs, and closeout.</w:t>
            </w:r>
          </w:p>
        </w:tc>
      </w:tr>
      <w:tr w:rsidR="00BB6856" w14:paraId="1684C244" w14:textId="77777777">
        <w:trPr>
          <w:cantSplit/>
        </w:trPr>
        <w:tc>
          <w:tcPr>
            <w:tcW w:w="1500" w:type="dxa"/>
            <w:tcMar>
              <w:top w:w="80" w:type="dxa"/>
              <w:left w:w="120" w:type="dxa"/>
              <w:bottom w:w="80" w:type="dxa"/>
              <w:right w:w="120" w:type="dxa"/>
            </w:tcMar>
            <w:vAlign w:val="center"/>
          </w:tcPr>
          <w:p w14:paraId="59127854" w14:textId="77777777" w:rsidR="00BB6856" w:rsidRDefault="00000000">
            <w:pPr>
              <w:spacing w:after="0" w:line="259" w:lineRule="auto"/>
              <w:jc w:val="left"/>
            </w:pPr>
            <w:r>
              <w:rPr>
                <w:b/>
                <w:sz w:val="18"/>
              </w:rPr>
              <w:t>Near term</w:t>
            </w:r>
          </w:p>
        </w:tc>
        <w:tc>
          <w:tcPr>
            <w:tcW w:w="3100" w:type="dxa"/>
            <w:tcMar>
              <w:top w:w="80" w:type="dxa"/>
              <w:left w:w="120" w:type="dxa"/>
              <w:bottom w:w="80" w:type="dxa"/>
              <w:right w:w="120" w:type="dxa"/>
            </w:tcMar>
            <w:vAlign w:val="center"/>
          </w:tcPr>
          <w:p w14:paraId="349F1013" w14:textId="77777777" w:rsidR="00BB6856" w:rsidRDefault="00000000">
            <w:pPr>
              <w:spacing w:after="0" w:line="259" w:lineRule="auto"/>
              <w:jc w:val="left"/>
            </w:pPr>
            <w:r>
              <w:rPr>
                <w:sz w:val="18"/>
              </w:rPr>
              <w:t>Develop a specific work order for high-priority pruning, removal, cabling, or further assessment.</w:t>
            </w:r>
          </w:p>
        </w:tc>
        <w:tc>
          <w:tcPr>
            <w:tcW w:w="1800" w:type="dxa"/>
            <w:tcMar>
              <w:top w:w="80" w:type="dxa"/>
              <w:left w:w="120" w:type="dxa"/>
              <w:bottom w:w="80" w:type="dxa"/>
              <w:right w:w="120" w:type="dxa"/>
            </w:tcMar>
            <w:vAlign w:val="center"/>
          </w:tcPr>
          <w:p w14:paraId="55386F69" w14:textId="77777777" w:rsidR="00BB6856" w:rsidRDefault="00000000">
            <w:pPr>
              <w:spacing w:after="0" w:line="259" w:lineRule="auto"/>
              <w:jc w:val="left"/>
            </w:pPr>
            <w:r>
              <w:rPr>
                <w:sz w:val="18"/>
              </w:rPr>
              <w:t>Schedule within the assigned period.</w:t>
            </w:r>
          </w:p>
        </w:tc>
        <w:tc>
          <w:tcPr>
            <w:tcW w:w="2960" w:type="dxa"/>
            <w:tcMar>
              <w:top w:w="80" w:type="dxa"/>
              <w:left w:w="120" w:type="dxa"/>
              <w:bottom w:w="80" w:type="dxa"/>
              <w:right w:w="120" w:type="dxa"/>
            </w:tcMar>
            <w:vAlign w:val="center"/>
          </w:tcPr>
          <w:p w14:paraId="7116E60F" w14:textId="77777777" w:rsidR="00BB6856" w:rsidRDefault="00000000">
            <w:pPr>
              <w:spacing w:after="0" w:line="259" w:lineRule="auto"/>
              <w:jc w:val="left"/>
            </w:pPr>
            <w:r>
              <w:rPr>
                <w:sz w:val="18"/>
              </w:rPr>
              <w:t>Tree ID, scope, contractor, completion date, and verification.</w:t>
            </w:r>
          </w:p>
        </w:tc>
      </w:tr>
      <w:tr w:rsidR="00BB6856" w14:paraId="524CEDFB" w14:textId="77777777">
        <w:trPr>
          <w:cantSplit/>
        </w:trPr>
        <w:tc>
          <w:tcPr>
            <w:tcW w:w="1500" w:type="dxa"/>
            <w:tcMar>
              <w:top w:w="80" w:type="dxa"/>
              <w:left w:w="120" w:type="dxa"/>
              <w:bottom w:w="80" w:type="dxa"/>
              <w:right w:w="120" w:type="dxa"/>
            </w:tcMar>
            <w:vAlign w:val="center"/>
          </w:tcPr>
          <w:p w14:paraId="7E1D6512" w14:textId="77777777" w:rsidR="00BB6856" w:rsidRDefault="00000000">
            <w:pPr>
              <w:spacing w:after="0" w:line="259" w:lineRule="auto"/>
              <w:jc w:val="left"/>
            </w:pPr>
            <w:r>
              <w:rPr>
                <w:b/>
                <w:sz w:val="18"/>
              </w:rPr>
              <w:t>Planned</w:t>
            </w:r>
          </w:p>
        </w:tc>
        <w:tc>
          <w:tcPr>
            <w:tcW w:w="3100" w:type="dxa"/>
            <w:tcMar>
              <w:top w:w="80" w:type="dxa"/>
              <w:left w:w="120" w:type="dxa"/>
              <w:bottom w:w="80" w:type="dxa"/>
              <w:right w:w="120" w:type="dxa"/>
            </w:tcMar>
            <w:vAlign w:val="center"/>
          </w:tcPr>
          <w:p w14:paraId="48BB507C" w14:textId="77777777" w:rsidR="00BB6856" w:rsidRDefault="00000000">
            <w:pPr>
              <w:spacing w:after="0" w:line="259" w:lineRule="auto"/>
              <w:jc w:val="left"/>
            </w:pPr>
            <w:r>
              <w:rPr>
                <w:sz w:val="18"/>
              </w:rPr>
              <w:t>Package moderate-priority work into operating, reserve, or capital budgets.</w:t>
            </w:r>
          </w:p>
        </w:tc>
        <w:tc>
          <w:tcPr>
            <w:tcW w:w="1800" w:type="dxa"/>
            <w:tcMar>
              <w:top w:w="80" w:type="dxa"/>
              <w:left w:w="120" w:type="dxa"/>
              <w:bottom w:w="80" w:type="dxa"/>
              <w:right w:w="120" w:type="dxa"/>
            </w:tcMar>
            <w:vAlign w:val="center"/>
          </w:tcPr>
          <w:p w14:paraId="550B8315" w14:textId="77777777" w:rsidR="00BB6856" w:rsidRDefault="00000000">
            <w:pPr>
              <w:spacing w:after="0" w:line="259" w:lineRule="auto"/>
              <w:jc w:val="left"/>
            </w:pPr>
            <w:r>
              <w:rPr>
                <w:sz w:val="18"/>
              </w:rPr>
              <w:t>Align with procurement and budget cycles.</w:t>
            </w:r>
          </w:p>
        </w:tc>
        <w:tc>
          <w:tcPr>
            <w:tcW w:w="2960" w:type="dxa"/>
            <w:tcMar>
              <w:top w:w="80" w:type="dxa"/>
              <w:left w:w="120" w:type="dxa"/>
              <w:bottom w:w="80" w:type="dxa"/>
              <w:right w:w="120" w:type="dxa"/>
            </w:tcMar>
            <w:vAlign w:val="center"/>
          </w:tcPr>
          <w:p w14:paraId="35B094E5" w14:textId="77777777" w:rsidR="00BB6856" w:rsidRDefault="00000000">
            <w:pPr>
              <w:spacing w:after="0" w:line="259" w:lineRule="auto"/>
              <w:jc w:val="left"/>
            </w:pPr>
            <w:r>
              <w:rPr>
                <w:sz w:val="18"/>
              </w:rPr>
              <w:t>Estimate, appropriation, bid documents, award, and completion.</w:t>
            </w:r>
          </w:p>
        </w:tc>
      </w:tr>
      <w:tr w:rsidR="00BB6856" w14:paraId="063DE09D" w14:textId="77777777">
        <w:trPr>
          <w:cantSplit/>
        </w:trPr>
        <w:tc>
          <w:tcPr>
            <w:tcW w:w="1500" w:type="dxa"/>
            <w:tcMar>
              <w:top w:w="80" w:type="dxa"/>
              <w:left w:w="120" w:type="dxa"/>
              <w:bottom w:w="80" w:type="dxa"/>
              <w:right w:w="120" w:type="dxa"/>
            </w:tcMar>
            <w:vAlign w:val="center"/>
          </w:tcPr>
          <w:p w14:paraId="6C529963" w14:textId="77777777" w:rsidR="00BB6856" w:rsidRDefault="00000000">
            <w:pPr>
              <w:spacing w:after="0" w:line="259" w:lineRule="auto"/>
              <w:jc w:val="left"/>
            </w:pPr>
            <w:r>
              <w:rPr>
                <w:b/>
                <w:sz w:val="18"/>
              </w:rPr>
              <w:t>Monitor</w:t>
            </w:r>
          </w:p>
        </w:tc>
        <w:tc>
          <w:tcPr>
            <w:tcW w:w="3100" w:type="dxa"/>
            <w:tcMar>
              <w:top w:w="80" w:type="dxa"/>
              <w:left w:w="120" w:type="dxa"/>
              <w:bottom w:w="80" w:type="dxa"/>
              <w:right w:w="120" w:type="dxa"/>
            </w:tcMar>
            <w:vAlign w:val="center"/>
          </w:tcPr>
          <w:p w14:paraId="37D357B0" w14:textId="77777777" w:rsidR="00BB6856" w:rsidRDefault="00000000">
            <w:pPr>
              <w:spacing w:after="0" w:line="259" w:lineRule="auto"/>
              <w:jc w:val="left"/>
            </w:pPr>
            <w:r>
              <w:rPr>
                <w:sz w:val="18"/>
              </w:rPr>
              <w:t>Retain the tree with defined observations, triggers, or reassessment requirements.</w:t>
            </w:r>
          </w:p>
        </w:tc>
        <w:tc>
          <w:tcPr>
            <w:tcW w:w="1800" w:type="dxa"/>
            <w:tcMar>
              <w:top w:w="80" w:type="dxa"/>
              <w:left w:w="120" w:type="dxa"/>
              <w:bottom w:w="80" w:type="dxa"/>
              <w:right w:w="120" w:type="dxa"/>
            </w:tcMar>
            <w:vAlign w:val="center"/>
          </w:tcPr>
          <w:p w14:paraId="41D7C3FE" w14:textId="77777777" w:rsidR="00BB6856" w:rsidRDefault="00000000">
            <w:pPr>
              <w:spacing w:after="0" w:line="259" w:lineRule="auto"/>
              <w:jc w:val="left"/>
            </w:pPr>
            <w:r>
              <w:rPr>
                <w:sz w:val="18"/>
              </w:rPr>
              <w:t>Use a documented interval or event trigger.</w:t>
            </w:r>
          </w:p>
        </w:tc>
        <w:tc>
          <w:tcPr>
            <w:tcW w:w="2960" w:type="dxa"/>
            <w:tcMar>
              <w:top w:w="80" w:type="dxa"/>
              <w:left w:w="120" w:type="dxa"/>
              <w:bottom w:w="80" w:type="dxa"/>
              <w:right w:w="120" w:type="dxa"/>
            </w:tcMar>
            <w:vAlign w:val="center"/>
          </w:tcPr>
          <w:p w14:paraId="0D86C4F0" w14:textId="77777777" w:rsidR="00BB6856" w:rsidRDefault="00000000">
            <w:pPr>
              <w:spacing w:after="0" w:line="259" w:lineRule="auto"/>
              <w:jc w:val="left"/>
            </w:pPr>
            <w:r>
              <w:rPr>
                <w:sz w:val="18"/>
              </w:rPr>
              <w:t>Baseline condition, monitoring date, changes observed, and next action.</w:t>
            </w:r>
          </w:p>
        </w:tc>
      </w:tr>
    </w:tbl>
    <w:p w14:paraId="0EDEAE12" w14:textId="77777777" w:rsidR="00BB6856" w:rsidRDefault="00000000">
      <w:pPr>
        <w:spacing w:before="80"/>
      </w:pPr>
      <w:r>
        <w:rPr>
          <w:i/>
          <w:color w:val="5B6573"/>
          <w:sz w:val="19"/>
        </w:rPr>
        <w:t>Timing should be established from the actual assessment findings, site conditions, available controls, and professional judgment—not from a generic schedule.</w:t>
      </w:r>
    </w:p>
    <w:p w14:paraId="0FC8A383" w14:textId="77777777" w:rsidR="00BB6856" w:rsidRDefault="00000000">
      <w:pPr>
        <w:pStyle w:val="Heading2"/>
      </w:pPr>
      <w:r>
        <w:t>3. Convert Recommendations into Executable Work</w:t>
      </w:r>
    </w:p>
    <w:p w14:paraId="1F358A32" w14:textId="77777777" w:rsidR="00BB6856" w:rsidRDefault="00000000">
      <w:r>
        <w:t>Each recommendation should become an actionable scope. At minimum, the work record should identify the tree, location, prescribed treatment, applicable standard or specification, priority, responsible person, required completion date, and any site restrictions. Photographs and maps are particularly useful on large properties or when several contractors and departments are involved.</w:t>
      </w:r>
    </w:p>
    <w:p w14:paraId="64035D14" w14:textId="77777777" w:rsidR="00BB6856" w:rsidRDefault="00000000">
      <w:r>
        <w:lastRenderedPageBreak/>
        <w:t>Clear specifications reduce misunderstandings and make contractor proposals easier to compare. They also discourage substitutions such as excessive crown reduction, indiscriminate topping, removal of the wrong tree, or work that addresses appearance without correcting the assessed condition.</w:t>
      </w:r>
    </w:p>
    <w:p w14:paraId="7016BBF4" w14:textId="77777777" w:rsidR="00BB6856" w:rsidRDefault="00000000">
      <w:pPr>
        <w:pStyle w:val="Heading2"/>
      </w:pPr>
      <w:r>
        <w:t>4. Build the Budget and Procurement Path</w:t>
      </w:r>
    </w:p>
    <w:p w14:paraId="33356ADD" w14:textId="77777777" w:rsidR="00BB6856" w:rsidRDefault="00000000">
      <w:r>
        <w:t>Tree work competes with other operational and capital needs. A useful implementation plan therefore includes realistic cost ranges, logical work packages, funding sources, and the appropriate purchasing method. Municipalities and public agencies may need quotations, formal bids, cooperative contracts, emergency purchasing documentation, governing-body approval, or coordination with grants. Associations may need board authorization and alignment with reserve schedules. Commercial and institutional properties may need facilities, insurance, legal, and purchasing review.</w:t>
      </w:r>
    </w:p>
    <w:p w14:paraId="2351776E" w14:textId="77777777" w:rsidR="00BB6856" w:rsidRDefault="00000000">
      <w:r>
        <w:t>Bundling compatible work can improve pricing and reduce mobilization costs, but urgent work should not be held back merely to create a larger package. The procurement strategy should reflect risk priority and operational reality.</w:t>
      </w:r>
    </w:p>
    <w:p w14:paraId="075F73F5" w14:textId="77777777" w:rsidR="00BB6856" w:rsidRDefault="00000000">
      <w:pPr>
        <w:pStyle w:val="Heading2"/>
      </w:pPr>
      <w:r>
        <w:t>5. Verify the Work and Close the Record</w:t>
      </w:r>
    </w:p>
    <w:p w14:paraId="73F02BEF" w14:textId="77777777" w:rsidR="00BB6856" w:rsidRDefault="00000000">
      <w:r>
        <w:t>Implementation should be verified against the approved scope. The closeout record should show what was done, when it was completed, by whom, whether the prescribed treatment was followed, and whether additional action is required. Verification is especially important when pruning specifications are technical, when multiple similar trees are present, or when the recommendation called for staged mitigation rather than removal.</w:t>
      </w:r>
    </w:p>
    <w:p w14:paraId="5FD256ED" w14:textId="77777777" w:rsidR="00BB6856" w:rsidRDefault="00000000">
      <w:pPr>
        <w:pStyle w:val="Heading2"/>
      </w:pPr>
      <w:r>
        <w:t>6. Establish Monitoring and Reassessment Triggers</w:t>
      </w:r>
    </w:p>
    <w:p w14:paraId="235D998B" w14:textId="77777777" w:rsidR="00BB6856" w:rsidRDefault="00000000">
      <w:r>
        <w:t>Reassessment intervals should be based on the tree, identified conditions, site use, targets, mitigation performed, and the client’s management objectives. Reassessment may also be warranted after severe weather, nearby construction, excavation, changes in drainage, soil disturbance, new symptoms, altered occupancy, or a material change in the surrounding site. A calendar reminder is useful, but event-based triggers are equally important.</w:t>
      </w:r>
    </w:p>
    <w:p w14:paraId="58D81BFF" w14:textId="77777777" w:rsidR="00BB6856" w:rsidRDefault="00000000">
      <w:pPr>
        <w:pStyle w:val="Heading1"/>
      </w:pPr>
      <w:r>
        <w:t>Applying the Framework to Different Properties</w:t>
      </w:r>
    </w:p>
    <w:p w14:paraId="75B6EFCF" w14:textId="77777777" w:rsidR="00BB6856" w:rsidRDefault="00000000">
      <w:pPr>
        <w:pStyle w:val="Heading2"/>
      </w:pPr>
      <w:r>
        <w:t>Municipalities and Public Agencies</w:t>
      </w:r>
    </w:p>
    <w:p w14:paraId="061AC0CE" w14:textId="77777777" w:rsidR="00BB6856" w:rsidRDefault="00000000">
      <w:r>
        <w:t xml:space="preserve">Municipal tree programs must connect field information with public works operations, budgeting, purchasing, emergency response, road and sidewalk projects, parks, utilities, constituent concerns, and governing-body priorities. Assessment data can support work planning, defensible prioritization, grant applications, contractor specifications, community forestry management plans, and multi-year </w:t>
      </w:r>
      <w:r>
        <w:lastRenderedPageBreak/>
        <w:t>maintenance programs. The objective is not merely to create an inventory; it is to use the inventory and risk information to direct limited public resources where they will have the greatest operational value.</w:t>
      </w:r>
    </w:p>
    <w:p w14:paraId="4B6341D4" w14:textId="77777777" w:rsidR="00BB6856" w:rsidRDefault="00000000">
      <w:pPr>
        <w:pStyle w:val="Heading2"/>
      </w:pPr>
      <w:r>
        <w:t>HOAs and Condominium Associations</w:t>
      </w:r>
    </w:p>
    <w:p w14:paraId="39E13530" w14:textId="77777777" w:rsidR="00BB6856" w:rsidRDefault="00000000">
      <w:r>
        <w:t>Associations often manage mature trees near homes, parking areas, sidewalks, recreation facilities, entrance features, and shared open space. A phased plan helps the board distinguish immediate safety concerns from reserve-funded maintenance and longer-term canopy renewal. Consistent records also help future boards understand why work was authorized and what monitoring remains outstanding.</w:t>
      </w:r>
    </w:p>
    <w:p w14:paraId="0FC23DBE" w14:textId="77777777" w:rsidR="00BB6856" w:rsidRDefault="00000000">
      <w:pPr>
        <w:pStyle w:val="Heading2"/>
      </w:pPr>
      <w:r>
        <w:t>Commercial and Institutional Properties</w:t>
      </w:r>
    </w:p>
    <w:p w14:paraId="29C76A8E" w14:textId="77777777" w:rsidR="00BB6856" w:rsidRDefault="00000000">
      <w:r>
        <w:t>Commercial sites, schools, healthcare properties, houses of worship, cemeteries, and institutional campuses have changing occupancy patterns and business-continuity concerns. Tree decisions may affect parking, pedestrian circulation, deliveries, utilities, emergency access, outdoor events, and critical facilities. Assessment and implementation should therefore be coordinated with facilities management and the property’s broader risk-management program.</w:t>
      </w:r>
    </w:p>
    <w:p w14:paraId="624F9CD4" w14:textId="77777777" w:rsidR="00BB6856" w:rsidRDefault="00000000">
      <w:pPr>
        <w:pStyle w:val="Heading2"/>
      </w:pPr>
      <w:r>
        <w:t>Large Residential Estates</w:t>
      </w:r>
    </w:p>
    <w:p w14:paraId="234069A7" w14:textId="77777777" w:rsidR="00BB6856" w:rsidRDefault="00000000">
      <w:r>
        <w:t>Large estates may contain high-value specimen trees, wooded edges, long drives, accessory structures, gathering areas, utility corridors, and landscapes undergoing renovation. A consulting arborist can help the owner preserve valuable trees while identifying conditions requiring mitigation, establishing priorities, coordinating qualified contractors, and documenting decisions. This is particularly useful before construction, property transfer, major landscape work, or an insurance review.</w:t>
      </w:r>
    </w:p>
    <w:p w14:paraId="7921F013" w14:textId="77777777" w:rsidR="00BB6856" w:rsidRDefault="00000000">
      <w:pPr>
        <w:pStyle w:val="Heading1"/>
      </w:pPr>
      <w:r>
        <w:t>The Value of Independent Professional Guidance</w:t>
      </w:r>
    </w:p>
    <w:p w14:paraId="260402E3" w14:textId="77777777" w:rsidR="00BB6856" w:rsidRDefault="00000000">
      <w:r>
        <w:t>The arborist’s technical findings are only one part of successful risk management. Clients also need someone who understands organizational responsibility, budget limitations, procurement rules, contractor performance, public communication, and documentation. Independent consulting guidance can help the client evaluate alternatives and develop a proportionate response based on the observed condition, the targets, the consequences of failure, and the client’s objectives.</w:t>
      </w:r>
    </w:p>
    <w:p w14:paraId="02EF8D38" w14:textId="77777777" w:rsidR="00BB6856" w:rsidRDefault="00000000">
      <w:r>
        <w:t>Concord MC combines ISA arboricultural qualifications with municipal management, public works, budgeting, purchasing, emergency management, and project implementation experience. This integrated perspective is especially valuable when an organization has a report in hand but needs a practical route from findings to completed and documented action.</w:t>
      </w:r>
    </w:p>
    <w:p w14:paraId="3B094D26" w14:textId="77777777" w:rsidR="00BB6856" w:rsidRDefault="00000000">
      <w:pPr>
        <w:pStyle w:val="Heading1"/>
      </w:pPr>
      <w:r>
        <w:lastRenderedPageBreak/>
        <w:t>How Concord MC Can Help</w:t>
      </w:r>
    </w:p>
    <w:p w14:paraId="6EE1804C" w14:textId="77777777" w:rsidR="00BB6856" w:rsidRDefault="00000000">
      <w:r>
        <w:t>Concord MC assists municipalities, public agencies, associations, institutions, commercial properties, and owners of large residential estates with:</w:t>
      </w:r>
    </w:p>
    <w:p w14:paraId="5C03DE1E" w14:textId="77777777" w:rsidR="00BB6856" w:rsidRDefault="00000000">
      <w:pPr>
        <w:keepLines/>
        <w:numPr>
          <w:ilvl w:val="0"/>
          <w:numId w:val="1"/>
        </w:numPr>
        <w:spacing w:after="80" w:line="290" w:lineRule="auto"/>
        <w:ind w:hanging="279"/>
        <w:jc w:val="left"/>
      </w:pPr>
      <w:r>
        <w:t>Level 1 limited visual and Level 2 basic tree risk assessments within a clearly defined scope;</w:t>
      </w:r>
    </w:p>
    <w:p w14:paraId="1B6CFE24" w14:textId="77777777" w:rsidR="00BB6856" w:rsidRDefault="00000000">
      <w:pPr>
        <w:keepLines/>
        <w:numPr>
          <w:ilvl w:val="0"/>
          <w:numId w:val="1"/>
        </w:numPr>
        <w:spacing w:after="80" w:line="290" w:lineRule="auto"/>
        <w:ind w:hanging="279"/>
        <w:jc w:val="left"/>
      </w:pPr>
      <w:r>
        <w:t>tree inventories, condition evaluations, mapping, and risk-based prioritization;</w:t>
      </w:r>
    </w:p>
    <w:p w14:paraId="3F5E6B5E" w14:textId="77777777" w:rsidR="00BB6856" w:rsidRDefault="00000000">
      <w:pPr>
        <w:keepLines/>
        <w:numPr>
          <w:ilvl w:val="0"/>
          <w:numId w:val="1"/>
        </w:numPr>
        <w:spacing w:after="80" w:line="290" w:lineRule="auto"/>
        <w:ind w:hanging="279"/>
        <w:jc w:val="left"/>
      </w:pPr>
      <w:r>
        <w:t>coordination of advanced diagnostic services when additional information is warranted;</w:t>
      </w:r>
    </w:p>
    <w:p w14:paraId="2449C925" w14:textId="77777777" w:rsidR="00BB6856" w:rsidRDefault="00000000">
      <w:pPr>
        <w:keepLines/>
        <w:numPr>
          <w:ilvl w:val="0"/>
          <w:numId w:val="1"/>
        </w:numPr>
        <w:spacing w:after="80" w:line="290" w:lineRule="auto"/>
        <w:ind w:hanging="279"/>
        <w:jc w:val="left"/>
      </w:pPr>
      <w:r>
        <w:t>written action plans, budget sequencing, and multi-year maintenance programs;</w:t>
      </w:r>
    </w:p>
    <w:p w14:paraId="3DB65BAB" w14:textId="77777777" w:rsidR="00BB6856" w:rsidRDefault="00000000">
      <w:pPr>
        <w:keepLines/>
        <w:numPr>
          <w:ilvl w:val="0"/>
          <w:numId w:val="1"/>
        </w:numPr>
        <w:spacing w:after="80" w:line="290" w:lineRule="auto"/>
        <w:ind w:hanging="279"/>
        <w:jc w:val="left"/>
      </w:pPr>
      <w:r>
        <w:t>tree-work specifications, bid-scope development, proposal comparison, and procurement support;</w:t>
      </w:r>
    </w:p>
    <w:p w14:paraId="17E7970D" w14:textId="77777777" w:rsidR="00BB6856" w:rsidRDefault="00000000">
      <w:pPr>
        <w:keepLines/>
        <w:numPr>
          <w:ilvl w:val="0"/>
          <w:numId w:val="1"/>
        </w:numPr>
        <w:spacing w:after="80" w:line="290" w:lineRule="auto"/>
        <w:ind w:hanging="279"/>
        <w:jc w:val="left"/>
      </w:pPr>
      <w:r>
        <w:t>contractor coordination, implementation oversight, and completion verification; and</w:t>
      </w:r>
    </w:p>
    <w:p w14:paraId="2A9A7EBA" w14:textId="77777777" w:rsidR="00BB6856" w:rsidRDefault="00000000">
      <w:pPr>
        <w:keepLines/>
        <w:numPr>
          <w:ilvl w:val="0"/>
          <w:numId w:val="1"/>
        </w:numPr>
        <w:spacing w:after="80" w:line="290" w:lineRule="auto"/>
        <w:ind w:hanging="279"/>
        <w:jc w:val="left"/>
      </w:pPr>
      <w:r>
        <w:t>monitoring programs, post-storm reviews, reassessment planning, and management documentation.</w:t>
      </w:r>
    </w:p>
    <w:p w14:paraId="03FC7779" w14:textId="77777777" w:rsidR="00BB6856" w:rsidRDefault="00000000">
      <w:pPr>
        <w:pBdr>
          <w:left w:val="single" w:sz="18" w:space="8" w:color="2E74B5"/>
        </w:pBdr>
        <w:shd w:val="clear" w:color="auto" w:fill="F4F6F9"/>
        <w:spacing w:before="160" w:after="280" w:line="288" w:lineRule="auto"/>
        <w:ind w:left="173" w:right="173"/>
        <w:jc w:val="left"/>
      </w:pPr>
      <w:r>
        <w:rPr>
          <w:b/>
          <w:color w:val="0B2545"/>
          <w:sz w:val="23"/>
        </w:rPr>
        <w:t xml:space="preserve">Do you have trees requiring assessment—or an assessment that has not yet become an action plan? </w:t>
      </w:r>
      <w:r>
        <w:rPr>
          <w:color w:val="0B2545"/>
          <w:sz w:val="23"/>
        </w:rPr>
        <w:t>Contact Concord MC to discuss an independent, practical approach to tree risk, prioritization, budgeting, procurement, and implementation oversight.</w:t>
      </w:r>
    </w:p>
    <w:p w14:paraId="077FFE87" w14:textId="77777777" w:rsidR="00BB6856" w:rsidRDefault="00000000">
      <w:pPr>
        <w:spacing w:after="360"/>
        <w:jc w:val="center"/>
      </w:pPr>
      <w:r>
        <w:rPr>
          <w:b/>
          <w:color w:val="1F4D78"/>
          <w:sz w:val="24"/>
        </w:rPr>
        <w:t>Concord MC  |  Concord-MC.com</w:t>
      </w:r>
    </w:p>
    <w:p w14:paraId="545442E7" w14:textId="77777777" w:rsidR="00BB6856" w:rsidRDefault="00000000">
      <w:pPr>
        <w:pStyle w:val="Heading2"/>
      </w:pPr>
      <w:r>
        <w:t>Professional Note</w:t>
      </w:r>
    </w:p>
    <w:p w14:paraId="3F978B28" w14:textId="77777777" w:rsidR="00BB6856" w:rsidRDefault="00000000">
      <w:r>
        <w:t>Tree risk cannot be completely eliminated. Recommendations must be based on the defined scope of assignment, site access, observed conditions, available information, assessment time frame, and the client’s management objectives. Conditions may change after an assessment, particularly following storms, construction, excavation, soil disturbance, or changes in site use.</w:t>
      </w:r>
    </w:p>
    <w:p w14:paraId="33C2654F" w14:textId="77777777" w:rsidR="00BB6856" w:rsidRDefault="00000000">
      <w:pPr>
        <w:pStyle w:val="Heading2"/>
      </w:pPr>
      <w:r>
        <w:t>Authoritative Resources</w:t>
      </w:r>
    </w:p>
    <w:p w14:paraId="43B55121" w14:textId="77777777" w:rsidR="00BB6856" w:rsidRDefault="00000000">
      <w:pPr>
        <w:numPr>
          <w:ilvl w:val="0"/>
          <w:numId w:val="1"/>
        </w:numPr>
        <w:spacing w:after="80" w:line="290" w:lineRule="auto"/>
        <w:ind w:hanging="279"/>
        <w:jc w:val="left"/>
      </w:pPr>
      <w:hyperlink r:id="rId8">
        <w:r>
          <w:rPr>
            <w:color w:val="2E74B5"/>
            <w:u w:val="single"/>
          </w:rPr>
          <w:t>International Society of Arboriculture—ISA Tree Risk Assessment Qualification</w:t>
        </w:r>
      </w:hyperlink>
    </w:p>
    <w:p w14:paraId="1DF63921" w14:textId="77777777" w:rsidR="00BB6856" w:rsidRDefault="00000000">
      <w:pPr>
        <w:numPr>
          <w:ilvl w:val="0"/>
          <w:numId w:val="1"/>
        </w:numPr>
        <w:spacing w:after="80" w:line="290" w:lineRule="auto"/>
        <w:ind w:hanging="279"/>
        <w:jc w:val="left"/>
      </w:pPr>
      <w:hyperlink r:id="rId9">
        <w:r>
          <w:rPr>
            <w:color w:val="2E74B5"/>
            <w:u w:val="single"/>
          </w:rPr>
          <w:t>USDA Forest Service—Urban Tree Risk Management: A Community Guide to Program Design and Implementation</w:t>
        </w:r>
      </w:hyperlink>
    </w:p>
    <w:p w14:paraId="09FA6E2C" w14:textId="77777777" w:rsidR="00BB6856" w:rsidRDefault="00000000">
      <w:pPr>
        <w:numPr>
          <w:ilvl w:val="0"/>
          <w:numId w:val="1"/>
        </w:numPr>
        <w:spacing w:after="80" w:line="290" w:lineRule="auto"/>
        <w:ind w:hanging="279"/>
        <w:jc w:val="left"/>
      </w:pPr>
      <w:hyperlink r:id="rId10">
        <w:r>
          <w:rPr>
            <w:color w:val="2E74B5"/>
            <w:u w:val="single"/>
          </w:rPr>
          <w:t>New Jersey Department of Environmental Protection—Urban and Community Forestry</w:t>
        </w:r>
      </w:hyperlink>
    </w:p>
    <w:p w14:paraId="676156E3" w14:textId="77777777" w:rsidR="00BB6856" w:rsidRDefault="00000000">
      <w:r>
        <w:br w:type="page"/>
      </w:r>
    </w:p>
    <w:p w14:paraId="1C4F388E" w14:textId="77777777" w:rsidR="00BB6856" w:rsidRDefault="00000000">
      <w:pPr>
        <w:pStyle w:val="Heading1"/>
      </w:pPr>
      <w:r>
        <w:lastRenderedPageBreak/>
        <w:t>Website Publishing Notes</w:t>
      </w:r>
    </w:p>
    <w:p w14:paraId="26395D41" w14:textId="77777777" w:rsidR="00BB6856" w:rsidRDefault="00000000">
      <w:pPr>
        <w:spacing w:after="200"/>
      </w:pPr>
      <w:r>
        <w:rPr>
          <w:i/>
          <w:color w:val="5B6573"/>
          <w:sz w:val="21"/>
        </w:rPr>
        <w:t>These notes are for the website editor and are not part of the article body.</w:t>
      </w:r>
    </w:p>
    <w:tbl>
      <w:tblPr>
        <w:tblStyle w:val="TableGrid"/>
        <w:tblW w:w="9360" w:type="dxa"/>
        <w:tblInd w:w="120" w:type="dxa"/>
        <w:tblBorders>
          <w:top w:val="single" w:sz="6" w:space="0" w:color="AAB5C2"/>
          <w:left w:val="single" w:sz="6" w:space="0" w:color="AAB5C2"/>
          <w:bottom w:val="single" w:sz="6" w:space="0" w:color="AAB5C2"/>
          <w:right w:val="single" w:sz="6" w:space="0" w:color="AAB5C2"/>
          <w:insideH w:val="single" w:sz="6" w:space="0" w:color="AAB5C2"/>
          <w:insideV w:val="single" w:sz="6" w:space="0" w:color="AAB5C2"/>
        </w:tblBorders>
        <w:tblLayout w:type="fixed"/>
        <w:tblLook w:val="04A0" w:firstRow="1" w:lastRow="0" w:firstColumn="1" w:lastColumn="0" w:noHBand="0" w:noVBand="1"/>
      </w:tblPr>
      <w:tblGrid>
        <w:gridCol w:w="2100"/>
        <w:gridCol w:w="7260"/>
      </w:tblGrid>
      <w:tr w:rsidR="00BB6856" w14:paraId="54EAF67E" w14:textId="77777777">
        <w:trPr>
          <w:cantSplit/>
        </w:trPr>
        <w:tc>
          <w:tcPr>
            <w:tcW w:w="2100" w:type="dxa"/>
            <w:shd w:val="clear" w:color="auto" w:fill="E8EEF5"/>
            <w:tcMar>
              <w:top w:w="80" w:type="dxa"/>
              <w:left w:w="120" w:type="dxa"/>
              <w:bottom w:w="80" w:type="dxa"/>
              <w:right w:w="120" w:type="dxa"/>
            </w:tcMar>
            <w:vAlign w:val="center"/>
          </w:tcPr>
          <w:p w14:paraId="01BB4CE6" w14:textId="77777777" w:rsidR="00BB6856" w:rsidRDefault="00000000">
            <w:pPr>
              <w:spacing w:after="0"/>
            </w:pPr>
            <w:r>
              <w:rPr>
                <w:b/>
                <w:color w:val="0B2545"/>
                <w:sz w:val="19"/>
              </w:rPr>
              <w:t>Suggested URL slug</w:t>
            </w:r>
          </w:p>
        </w:tc>
        <w:tc>
          <w:tcPr>
            <w:tcW w:w="7260" w:type="dxa"/>
            <w:tcMar>
              <w:top w:w="80" w:type="dxa"/>
              <w:left w:w="120" w:type="dxa"/>
              <w:bottom w:w="80" w:type="dxa"/>
              <w:right w:w="120" w:type="dxa"/>
            </w:tcMar>
            <w:vAlign w:val="center"/>
          </w:tcPr>
          <w:p w14:paraId="0981D592" w14:textId="77777777" w:rsidR="00BB6856" w:rsidRDefault="00000000">
            <w:pPr>
              <w:spacing w:after="0" w:line="259" w:lineRule="auto"/>
            </w:pPr>
            <w:r>
              <w:rPr>
                <w:sz w:val="19"/>
              </w:rPr>
              <w:t>/tree-risk-assessment-action-plan/</w:t>
            </w:r>
          </w:p>
        </w:tc>
      </w:tr>
      <w:tr w:rsidR="00BB6856" w14:paraId="75E6550F" w14:textId="77777777">
        <w:trPr>
          <w:cantSplit/>
        </w:trPr>
        <w:tc>
          <w:tcPr>
            <w:tcW w:w="2100" w:type="dxa"/>
            <w:shd w:val="clear" w:color="auto" w:fill="E8EEF5"/>
            <w:tcMar>
              <w:top w:w="80" w:type="dxa"/>
              <w:left w:w="120" w:type="dxa"/>
              <w:bottom w:w="80" w:type="dxa"/>
              <w:right w:w="120" w:type="dxa"/>
            </w:tcMar>
            <w:vAlign w:val="center"/>
          </w:tcPr>
          <w:p w14:paraId="54FF0FF0" w14:textId="77777777" w:rsidR="00BB6856" w:rsidRDefault="00000000">
            <w:pPr>
              <w:spacing w:after="0"/>
            </w:pPr>
            <w:r>
              <w:rPr>
                <w:b/>
                <w:color w:val="0B2545"/>
                <w:sz w:val="19"/>
              </w:rPr>
              <w:t>SEO title</w:t>
            </w:r>
          </w:p>
        </w:tc>
        <w:tc>
          <w:tcPr>
            <w:tcW w:w="7260" w:type="dxa"/>
            <w:tcMar>
              <w:top w:w="80" w:type="dxa"/>
              <w:left w:w="120" w:type="dxa"/>
              <w:bottom w:w="80" w:type="dxa"/>
              <w:right w:w="120" w:type="dxa"/>
            </w:tcMar>
            <w:vAlign w:val="center"/>
          </w:tcPr>
          <w:p w14:paraId="58134261" w14:textId="77777777" w:rsidR="00BB6856" w:rsidRDefault="00000000">
            <w:pPr>
              <w:spacing w:after="0" w:line="259" w:lineRule="auto"/>
            </w:pPr>
            <w:r>
              <w:rPr>
                <w:sz w:val="19"/>
              </w:rPr>
              <w:t>Tree Risk Assessment Action Plans | Concord MC</w:t>
            </w:r>
          </w:p>
        </w:tc>
      </w:tr>
      <w:tr w:rsidR="00BB6856" w14:paraId="62FE072A" w14:textId="77777777">
        <w:trPr>
          <w:cantSplit/>
        </w:trPr>
        <w:tc>
          <w:tcPr>
            <w:tcW w:w="2100" w:type="dxa"/>
            <w:shd w:val="clear" w:color="auto" w:fill="E8EEF5"/>
            <w:tcMar>
              <w:top w:w="80" w:type="dxa"/>
              <w:left w:w="120" w:type="dxa"/>
              <w:bottom w:w="80" w:type="dxa"/>
              <w:right w:w="120" w:type="dxa"/>
            </w:tcMar>
            <w:vAlign w:val="center"/>
          </w:tcPr>
          <w:p w14:paraId="205A07C7" w14:textId="77777777" w:rsidR="00BB6856" w:rsidRDefault="00000000">
            <w:pPr>
              <w:spacing w:after="0"/>
            </w:pPr>
            <w:r>
              <w:rPr>
                <w:b/>
                <w:color w:val="0B2545"/>
                <w:sz w:val="19"/>
              </w:rPr>
              <w:t>Meta description</w:t>
            </w:r>
          </w:p>
        </w:tc>
        <w:tc>
          <w:tcPr>
            <w:tcW w:w="7260" w:type="dxa"/>
            <w:tcMar>
              <w:top w:w="80" w:type="dxa"/>
              <w:left w:w="120" w:type="dxa"/>
              <w:bottom w:w="80" w:type="dxa"/>
              <w:right w:w="120" w:type="dxa"/>
            </w:tcMar>
            <w:vAlign w:val="center"/>
          </w:tcPr>
          <w:p w14:paraId="38E9235A" w14:textId="77777777" w:rsidR="00BB6856" w:rsidRDefault="00000000">
            <w:pPr>
              <w:spacing w:after="0" w:line="259" w:lineRule="auto"/>
            </w:pPr>
            <w:r>
              <w:rPr>
                <w:sz w:val="19"/>
              </w:rPr>
              <w:t>Learn how Concord MC turns tree risk assessments into prioritized, budgeted, documented action plans for public agencies, properties, associations, and estates.</w:t>
            </w:r>
          </w:p>
        </w:tc>
      </w:tr>
      <w:tr w:rsidR="00BB6856" w14:paraId="3B4AE60B" w14:textId="77777777">
        <w:trPr>
          <w:cantSplit/>
        </w:trPr>
        <w:tc>
          <w:tcPr>
            <w:tcW w:w="2100" w:type="dxa"/>
            <w:shd w:val="clear" w:color="auto" w:fill="E8EEF5"/>
            <w:tcMar>
              <w:top w:w="80" w:type="dxa"/>
              <w:left w:w="120" w:type="dxa"/>
              <w:bottom w:w="80" w:type="dxa"/>
              <w:right w:w="120" w:type="dxa"/>
            </w:tcMar>
            <w:vAlign w:val="center"/>
          </w:tcPr>
          <w:p w14:paraId="4665BD6F" w14:textId="77777777" w:rsidR="00BB6856" w:rsidRDefault="00000000">
            <w:pPr>
              <w:spacing w:after="0"/>
            </w:pPr>
            <w:r>
              <w:rPr>
                <w:b/>
                <w:color w:val="0B2545"/>
                <w:sz w:val="19"/>
              </w:rPr>
              <w:t>Suggested excerpt</w:t>
            </w:r>
          </w:p>
        </w:tc>
        <w:tc>
          <w:tcPr>
            <w:tcW w:w="7260" w:type="dxa"/>
            <w:tcMar>
              <w:top w:w="80" w:type="dxa"/>
              <w:left w:w="120" w:type="dxa"/>
              <w:bottom w:w="80" w:type="dxa"/>
              <w:right w:w="120" w:type="dxa"/>
            </w:tcMar>
            <w:vAlign w:val="center"/>
          </w:tcPr>
          <w:p w14:paraId="482129BC" w14:textId="77777777" w:rsidR="00BB6856" w:rsidRDefault="00000000">
            <w:pPr>
              <w:spacing w:after="0" w:line="259" w:lineRule="auto"/>
            </w:pPr>
            <w:r>
              <w:rPr>
                <w:sz w:val="19"/>
              </w:rPr>
              <w:t>A tree risk assessment identifies concerns, but effective risk management depends on prioritization, budgeting, procurement, implementation, verification, and follow-up.</w:t>
            </w:r>
          </w:p>
        </w:tc>
      </w:tr>
      <w:tr w:rsidR="00BB6856" w14:paraId="17EADD80" w14:textId="77777777">
        <w:trPr>
          <w:cantSplit/>
        </w:trPr>
        <w:tc>
          <w:tcPr>
            <w:tcW w:w="2100" w:type="dxa"/>
            <w:shd w:val="clear" w:color="auto" w:fill="E8EEF5"/>
            <w:tcMar>
              <w:top w:w="80" w:type="dxa"/>
              <w:left w:w="120" w:type="dxa"/>
              <w:bottom w:w="80" w:type="dxa"/>
              <w:right w:w="120" w:type="dxa"/>
            </w:tcMar>
            <w:vAlign w:val="center"/>
          </w:tcPr>
          <w:p w14:paraId="4367F82E" w14:textId="77777777" w:rsidR="00BB6856" w:rsidRDefault="00000000">
            <w:pPr>
              <w:spacing w:after="0"/>
            </w:pPr>
            <w:r>
              <w:rPr>
                <w:b/>
                <w:color w:val="0B2545"/>
                <w:sz w:val="19"/>
              </w:rPr>
              <w:t>Primary key phrase</w:t>
            </w:r>
          </w:p>
        </w:tc>
        <w:tc>
          <w:tcPr>
            <w:tcW w:w="7260" w:type="dxa"/>
            <w:tcMar>
              <w:top w:w="80" w:type="dxa"/>
              <w:left w:w="120" w:type="dxa"/>
              <w:bottom w:w="80" w:type="dxa"/>
              <w:right w:w="120" w:type="dxa"/>
            </w:tcMar>
            <w:vAlign w:val="center"/>
          </w:tcPr>
          <w:p w14:paraId="06A8E1CB" w14:textId="77777777" w:rsidR="00BB6856" w:rsidRDefault="00000000">
            <w:pPr>
              <w:spacing w:after="0" w:line="259" w:lineRule="auto"/>
            </w:pPr>
            <w:r>
              <w:rPr>
                <w:sz w:val="19"/>
              </w:rPr>
              <w:t>tree risk assessment action plan</w:t>
            </w:r>
          </w:p>
        </w:tc>
      </w:tr>
      <w:tr w:rsidR="00BB6856" w14:paraId="30DC6429" w14:textId="77777777">
        <w:trPr>
          <w:cantSplit/>
        </w:trPr>
        <w:tc>
          <w:tcPr>
            <w:tcW w:w="2100" w:type="dxa"/>
            <w:shd w:val="clear" w:color="auto" w:fill="E8EEF5"/>
            <w:tcMar>
              <w:top w:w="80" w:type="dxa"/>
              <w:left w:w="120" w:type="dxa"/>
              <w:bottom w:w="80" w:type="dxa"/>
              <w:right w:w="120" w:type="dxa"/>
            </w:tcMar>
            <w:vAlign w:val="center"/>
          </w:tcPr>
          <w:p w14:paraId="2840262F" w14:textId="77777777" w:rsidR="00BB6856" w:rsidRDefault="00000000">
            <w:pPr>
              <w:spacing w:after="0"/>
            </w:pPr>
            <w:r>
              <w:rPr>
                <w:b/>
                <w:color w:val="0B2545"/>
                <w:sz w:val="19"/>
              </w:rPr>
              <w:t>Suggested category</w:t>
            </w:r>
          </w:p>
        </w:tc>
        <w:tc>
          <w:tcPr>
            <w:tcW w:w="7260" w:type="dxa"/>
            <w:tcMar>
              <w:top w:w="80" w:type="dxa"/>
              <w:left w:w="120" w:type="dxa"/>
              <w:bottom w:w="80" w:type="dxa"/>
              <w:right w:w="120" w:type="dxa"/>
            </w:tcMar>
            <w:vAlign w:val="center"/>
          </w:tcPr>
          <w:p w14:paraId="400592C5" w14:textId="77777777" w:rsidR="00BB6856" w:rsidRDefault="00000000">
            <w:pPr>
              <w:spacing w:after="0" w:line="259" w:lineRule="auto"/>
            </w:pPr>
            <w:r>
              <w:rPr>
                <w:sz w:val="19"/>
              </w:rPr>
              <w:t>Consulting Arboriculture / Tree Risk Management</w:t>
            </w:r>
          </w:p>
        </w:tc>
      </w:tr>
    </w:tbl>
    <w:p w14:paraId="11FB5582" w14:textId="77777777" w:rsidR="00BB6856" w:rsidRDefault="00000000">
      <w:pPr>
        <w:pStyle w:val="Heading2"/>
      </w:pPr>
      <w:r>
        <w:t>Recommended Visuals</w:t>
      </w:r>
    </w:p>
    <w:p w14:paraId="720C232E" w14:textId="77777777" w:rsidR="00BB6856" w:rsidRDefault="00000000">
      <w:pPr>
        <w:keepLines/>
        <w:numPr>
          <w:ilvl w:val="0"/>
          <w:numId w:val="1"/>
        </w:numPr>
        <w:spacing w:after="80" w:line="290" w:lineRule="auto"/>
        <w:ind w:hanging="279"/>
        <w:jc w:val="left"/>
      </w:pPr>
      <w:r>
        <w:t>Use an original Concord MC field photograph showing an arborist evaluating a mature tree near a meaningful target such as a road, building, parking area, walkway, or residence.</w:t>
      </w:r>
    </w:p>
    <w:p w14:paraId="56AE9C70" w14:textId="77777777" w:rsidR="00BB6856" w:rsidRDefault="00000000">
      <w:pPr>
        <w:keepLines/>
        <w:numPr>
          <w:ilvl w:val="0"/>
          <w:numId w:val="1"/>
        </w:numPr>
        <w:spacing w:after="80" w:line="290" w:lineRule="auto"/>
        <w:ind w:hanging="279"/>
        <w:jc w:val="left"/>
      </w:pPr>
      <w:r>
        <w:t>Use a second original image showing implementation or documentation—for example, a tagged tree, mapped inventory, contractor work, or completed mitigation.</w:t>
      </w:r>
    </w:p>
    <w:p w14:paraId="03B450EE" w14:textId="77777777" w:rsidR="00BB6856" w:rsidRDefault="00000000">
      <w:pPr>
        <w:keepLines/>
        <w:numPr>
          <w:ilvl w:val="0"/>
          <w:numId w:val="1"/>
        </w:numPr>
        <w:spacing w:after="80" w:line="290" w:lineRule="auto"/>
        <w:ind w:hanging="279"/>
        <w:jc w:val="left"/>
      </w:pPr>
      <w:r>
        <w:t>Do not use photographs, quotations, branded diagrams, or other material from a competing company’s article.</w:t>
      </w:r>
    </w:p>
    <w:sectPr w:rsidR="00BB6856" w:rsidSect="00034616">
      <w:headerReference w:type="default" r:id="rId11"/>
      <w:footerReference w:type="defaul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B66FF" w14:textId="77777777" w:rsidR="00E621EF" w:rsidRDefault="00E621EF">
      <w:pPr>
        <w:spacing w:after="0" w:line="240" w:lineRule="auto"/>
      </w:pPr>
      <w:r>
        <w:separator/>
      </w:r>
    </w:p>
  </w:endnote>
  <w:endnote w:type="continuationSeparator" w:id="0">
    <w:p w14:paraId="4446838F" w14:textId="77777777" w:rsidR="00E621EF" w:rsidRDefault="00E62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C28FF" w14:textId="77777777" w:rsidR="00BB6856" w:rsidRDefault="00BB6856">
    <w:pPr>
      <w:pStyle w:val="Footer"/>
    </w:pPr>
  </w:p>
  <w:tbl>
    <w:tblPr>
      <w:tblW w:w="0" w:type="auto"/>
      <w:tblLayout w:type="fixed"/>
      <w:tblLook w:val="04A0" w:firstRow="1" w:lastRow="0" w:firstColumn="1" w:lastColumn="0" w:noHBand="0" w:noVBand="1"/>
    </w:tblPr>
    <w:tblGrid>
      <w:gridCol w:w="6624"/>
      <w:gridCol w:w="2736"/>
    </w:tblGrid>
    <w:tr w:rsidR="00BB6856" w14:paraId="71192ED9" w14:textId="77777777">
      <w:tc>
        <w:tcPr>
          <w:tcW w:w="6624" w:type="dxa"/>
        </w:tcPr>
        <w:p w14:paraId="71FDACC7" w14:textId="77777777" w:rsidR="00BB6856" w:rsidRDefault="00000000">
          <w:pPr>
            <w:spacing w:after="0"/>
          </w:pPr>
          <w:r>
            <w:rPr>
              <w:b/>
              <w:color w:val="5B6573"/>
              <w:sz w:val="18"/>
            </w:rPr>
            <w:t>Concord-MC.com</w:t>
          </w:r>
        </w:p>
      </w:tc>
      <w:tc>
        <w:tcPr>
          <w:tcW w:w="2736" w:type="dxa"/>
        </w:tcPr>
        <w:p w14:paraId="2BDA4F19" w14:textId="77777777" w:rsidR="00BB6856" w:rsidRDefault="00000000">
          <w:pPr>
            <w:spacing w:after="0"/>
            <w:jc w:val="right"/>
          </w:pPr>
          <w:r>
            <w:rPr>
              <w:color w:val="5B6573"/>
              <w:sz w:val="18"/>
            </w:rPr>
            <w:t xml:space="preserve">Page </w:t>
          </w:r>
          <w:r>
            <w:fldChar w:fldCharType="begin"/>
          </w:r>
          <w:r>
            <w:instrText xml:space="preserve"> PAGE </w:instrText>
          </w:r>
          <w:r w:rsidR="007347B7">
            <w:fldChar w:fldCharType="separate"/>
          </w:r>
          <w:r w:rsidR="007347B7">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21D47" w14:textId="77777777" w:rsidR="00E621EF" w:rsidRDefault="00E621EF">
      <w:pPr>
        <w:spacing w:after="0" w:line="240" w:lineRule="auto"/>
      </w:pPr>
      <w:r>
        <w:separator/>
      </w:r>
    </w:p>
  </w:footnote>
  <w:footnote w:type="continuationSeparator" w:id="0">
    <w:p w14:paraId="428D5D3A" w14:textId="77777777" w:rsidR="00E621EF" w:rsidRDefault="00E62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4C568" w14:textId="49234E65" w:rsidR="00BB6856" w:rsidRDefault="00000000">
    <w:pPr>
      <w:pStyle w:val="Header"/>
      <w:jc w:val="left"/>
    </w:pPr>
    <w:r>
      <w:rPr>
        <w:b/>
        <w:color w:val="5B6573"/>
        <w:sz w:val="17"/>
      </w:rPr>
      <w:t>CONCORD MC | CONSULTING ARBORICULTURE &amp; MUNICIPAL MANAGEMENT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A526C04"/>
    <w:multiLevelType w:val="singleLevel"/>
    <w:tmpl w:val="3236AAC4"/>
    <w:lvl w:ilvl="0">
      <w:start w:val="1"/>
      <w:numFmt w:val="decimal"/>
      <w:pStyle w:val="ListBullet2"/>
      <w:lvlText w:val="%1."/>
      <w:lvlJc w:val="left"/>
      <w:pPr>
        <w:tabs>
          <w:tab w:val="num" w:pos="540"/>
        </w:tabs>
        <w:ind w:left="540" w:hanging="280"/>
      </w:pPr>
    </w:lvl>
  </w:abstractNum>
  <w:abstractNum w:abstractNumId="10" w15:restartNumberingAfterBreak="0">
    <w:nsid w:val="75F86E17"/>
    <w:multiLevelType w:val="singleLevel"/>
    <w:tmpl w:val="93D281C8"/>
    <w:lvl w:ilvl="0">
      <w:start w:val="1"/>
      <w:numFmt w:val="bullet"/>
      <w:pStyle w:val="ListBullet"/>
      <w:lvlText w:val="•"/>
      <w:lvlJc w:val="left"/>
      <w:pPr>
        <w:tabs>
          <w:tab w:val="num" w:pos="540"/>
        </w:tabs>
        <w:ind w:left="540" w:hanging="280"/>
      </w:pPr>
      <w:rPr>
        <w:rFonts w:ascii="Symbol" w:hAnsi="Symbol"/>
      </w:rPr>
    </w:lvl>
  </w:abstractNum>
  <w:num w:numId="1" w16cid:durableId="86507859">
    <w:abstractNumId w:val="10"/>
  </w:num>
  <w:num w:numId="2" w16cid:durableId="11655600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347B7"/>
    <w:rsid w:val="00834248"/>
    <w:rsid w:val="00AA1D8D"/>
    <w:rsid w:val="00B47730"/>
    <w:rsid w:val="00BB6856"/>
    <w:rsid w:val="00CB0664"/>
    <w:rsid w:val="00E621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086EE"/>
  <w14:defaultImageDpi w14:val="300"/>
  <w15:docId w15:val="{34B5CF1E-DB08-429F-AE74-A27579555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20" w:lineRule="auto"/>
      <w:jc w:val="both"/>
    </w:pPr>
    <w:rPr>
      <w:rFonts w:ascii="Calibri" w:hAnsi="Calibri"/>
      <w:color w:val="222222"/>
    </w:rPr>
  </w:style>
  <w:style w:type="paragraph" w:styleId="Heading1">
    <w:name w:val="heading 1"/>
    <w:basedOn w:val="Normal"/>
    <w:next w:val="Normal"/>
    <w:link w:val="Heading1Char"/>
    <w:uiPriority w:val="9"/>
    <w:qFormat/>
    <w:rsid w:val="00FC693F"/>
    <w:pPr>
      <w:keepNext/>
      <w:keepLines/>
      <w:spacing w:before="360" w:after="200" w:line="240" w:lineRule="auto"/>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line="240" w:lineRule="auto"/>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line="240" w:lineRule="auto"/>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a-arbor.com/Credentials/Types-of-Credentials/ISA-Tree-Risk-Assessment-Qualifica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ep.nj.gov/parksandforests/conservation/urban-and-community-forestry/" TargetMode="External"/><Relationship Id="rId4" Type="http://schemas.openxmlformats.org/officeDocument/2006/relationships/settings" Target="settings.xml"/><Relationship Id="rId9" Type="http://schemas.openxmlformats.org/officeDocument/2006/relationships/hyperlink" Target="https://research.fs.usda.gov/treesearch/1107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2310</Words>
  <Characters>13170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Risk Assessments Are Only the Beginning: Turning Findings into an Action Plan</dc:title>
  <dc:subject>Website article about converting tree risk assessment findings into prioritized, budgeted, documented action</dc:subject>
  <dc:creator>Jerry Barberio, Concord MC</dc:creator>
  <cp:keywords>tree risk assessment, ISA TRAQ, consulting arborist, municipalities, HOA, commercial property, large estates, Concord MC</cp:keywords>
  <dc:description>Original website article prepared for Concord MC.</dc:description>
  <cp:lastModifiedBy>Jerome Barberio</cp:lastModifiedBy>
  <cp:revision>2</cp:revision>
  <dcterms:created xsi:type="dcterms:W3CDTF">2026-07-21T02:08:00Z</dcterms:created>
  <dcterms:modified xsi:type="dcterms:W3CDTF">2026-07-21T02:08:00Z</dcterms:modified>
  <cp:category/>
</cp:coreProperties>
</file>